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15189B85" w14:textId="77777777" w:rsidR="00370E29" w:rsidRDefault="00000000">
      <w:pPr>
        <w:pStyle w:val="a4"/>
        <w:spacing w:before="80"/>
      </w:pPr>
      <w:r>
        <w:t>Политика</w:t>
      </w:r>
    </w:p>
    <w:p w14:paraId="6C12E9E5" w14:textId="77777777" w:rsidR="00370E29" w:rsidRDefault="00000000">
      <w:pPr>
        <w:pStyle w:val="a4"/>
        <w:ind w:left="1028"/>
      </w:pPr>
      <w:r>
        <w:t>компании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250B7928" w14:textId="7E571AF6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Настоящая Политика определяет порядок обработки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и меры 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="00F62E03" w:rsidRPr="00D644C1">
        <w:rPr>
          <w:sz w:val="22"/>
          <w:szCs w:val="22"/>
        </w:rPr>
        <w:t>ООО СЗ «</w:t>
      </w:r>
      <w:r w:rsidR="00DB0C06">
        <w:rPr>
          <w:sz w:val="22"/>
          <w:szCs w:val="22"/>
        </w:rPr>
        <w:t>Форвард Групп</w:t>
      </w:r>
      <w:r w:rsidR="00F62E03" w:rsidRPr="00D644C1">
        <w:rPr>
          <w:sz w:val="22"/>
          <w:szCs w:val="22"/>
        </w:rPr>
        <w:t xml:space="preserve">» </w:t>
      </w:r>
      <w:r w:rsidRPr="00D644C1">
        <w:rPr>
          <w:sz w:val="22"/>
          <w:szCs w:val="22"/>
        </w:rPr>
        <w:t>(далее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гражданина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данных, в том числе защиты прав на неприкосновенность частной жизни,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личную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lastRenderedPageBreak/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lastRenderedPageBreak/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0900" w14:textId="77777777" w:rsidR="007205F0" w:rsidRDefault="007205F0">
      <w:r>
        <w:separator/>
      </w:r>
    </w:p>
  </w:endnote>
  <w:endnote w:type="continuationSeparator" w:id="0">
    <w:p w14:paraId="193CCC8C" w14:textId="77777777" w:rsidR="007205F0" w:rsidRDefault="0072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D661" w14:textId="77777777" w:rsidR="007205F0" w:rsidRDefault="007205F0">
      <w:r>
        <w:separator/>
      </w:r>
    </w:p>
  </w:footnote>
  <w:footnote w:type="continuationSeparator" w:id="0">
    <w:p w14:paraId="2085A243" w14:textId="77777777" w:rsidR="007205F0" w:rsidRDefault="0072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E16EE"/>
    <w:rsid w:val="002E0DB6"/>
    <w:rsid w:val="00370E29"/>
    <w:rsid w:val="00416D39"/>
    <w:rsid w:val="004E35D8"/>
    <w:rsid w:val="004F42C5"/>
    <w:rsid w:val="00517CD2"/>
    <w:rsid w:val="006A7161"/>
    <w:rsid w:val="007205F0"/>
    <w:rsid w:val="007C1A42"/>
    <w:rsid w:val="008469A5"/>
    <w:rsid w:val="008732BA"/>
    <w:rsid w:val="009678CD"/>
    <w:rsid w:val="00982465"/>
    <w:rsid w:val="00A9520F"/>
    <w:rsid w:val="00D644C1"/>
    <w:rsid w:val="00DB0C06"/>
    <w:rsid w:val="00DC7B8B"/>
    <w:rsid w:val="00F032B6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2376</Words>
  <Characters>13545</Characters>
  <Application>Microsoft Office Word</Application>
  <DocSecurity>0</DocSecurity>
  <Lines>112</Lines>
  <Paragraphs>31</Paragraphs>
  <ScaleCrop>false</ScaleCrop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2025-06-02T14:23:00Z</dcterms:created>
  <dcterms:modified xsi:type="dcterms:W3CDTF">2025-06-02T14:23:00Z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